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0"/>
        <w:gridCol w:w="5246"/>
      </w:tblGrid>
      <w:tr w:rsidR="00F41814" w:rsidRPr="00F41814" w:rsidTr="00F41814">
        <w:tc>
          <w:tcPr>
            <w:tcW w:w="3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14" w:rsidRPr="00F41814" w:rsidRDefault="00F41814" w:rsidP="00F41814">
            <w:pPr>
              <w:spacing w:after="120" w:line="240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fr-FR"/>
              </w:rPr>
              <w:t>TỔNG CỤC THUẾ</w:t>
            </w:r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fr-FR"/>
              </w:rPr>
              <w:br/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fr-FR"/>
              </w:rPr>
              <w:t>CỤC THUẾ TP. HỒ CHÍ MINH</w:t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val="fr-FR"/>
              </w:rPr>
              <w:br/>
            </w:r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fr-FR"/>
              </w:rPr>
              <w:t>--------</w:t>
            </w:r>
          </w:p>
        </w:tc>
        <w:tc>
          <w:tcPr>
            <w:tcW w:w="5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14" w:rsidRPr="00F41814" w:rsidRDefault="00F41814" w:rsidP="00F41814">
            <w:pPr>
              <w:spacing w:after="120" w:line="240" w:lineRule="atLeast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Độc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Hạnh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phúc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 </w:t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F41814" w:rsidRPr="00F41814" w:rsidTr="00F41814">
        <w:tc>
          <w:tcPr>
            <w:tcW w:w="36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14" w:rsidRPr="00F41814" w:rsidRDefault="00F41814" w:rsidP="00F41814">
            <w:pPr>
              <w:spacing w:after="120" w:line="240" w:lineRule="atLeas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Số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: 10305/CT-TTHT</w:t>
            </w:r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br/>
            </w:r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V/v :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thủ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tục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cấp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hóa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lẻ</w:t>
            </w:r>
            <w:proofErr w:type="spellEnd"/>
          </w:p>
        </w:tc>
        <w:tc>
          <w:tcPr>
            <w:tcW w:w="5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14" w:rsidRPr="00F41814" w:rsidRDefault="00F41814" w:rsidP="00F41814">
            <w:pPr>
              <w:spacing w:after="120" w:line="240" w:lineRule="atLeast"/>
              <w:jc w:val="right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TP.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Chí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 Minh,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 31 tháng12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i/>
                <w:iCs/>
                <w:color w:val="000000"/>
                <w:sz w:val="28"/>
                <w:szCs w:val="28"/>
              </w:rPr>
              <w:t xml:space="preserve"> 2012</w:t>
            </w:r>
          </w:p>
        </w:tc>
      </w:tr>
    </w:tbl>
    <w:p w:rsidR="00F41814" w:rsidRPr="00F41814" w:rsidRDefault="00F41814" w:rsidP="00F41814">
      <w:pPr>
        <w:shd w:val="clear" w:color="auto" w:fill="FFFFFF"/>
        <w:spacing w:after="120" w:line="240" w:lineRule="atLeast"/>
        <w:jc w:val="center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proofErr w:type="spellStart"/>
      <w:r w:rsidRPr="00F4181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Kính</w:t>
      </w:r>
      <w:proofErr w:type="spellEnd"/>
      <w:r w:rsidRPr="00F4181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gửi</w:t>
      </w:r>
      <w:proofErr w:type="spellEnd"/>
      <w:r w:rsidRPr="00F41814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:</w:t>
      </w:r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 Chi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quận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Bình</w:t>
      </w:r>
      <w:proofErr w:type="spellEnd"/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Trả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lời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văn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bản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12555/CCT-TTHT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ngày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18/12/2012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của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Chi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về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thủ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TP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ý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kiến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như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sau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:</w:t>
      </w:r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khoản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3,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Điều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12,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Chương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II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Thông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tư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153/2010/TT-BTC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ngày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28/09/2010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của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Bộ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Tài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Chính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hướng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dẫn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về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hàng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dịch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vụ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:</w:t>
      </w:r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“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quan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việc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hàng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cung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ứng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dịch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vụ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được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xác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như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sau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:</w:t>
      </w:r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proofErr w:type="gram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Đối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với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tổ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chức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: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quan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quản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lý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bàn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tổ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chức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đăng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ký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mã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hoặc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tổ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chức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đóng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trụ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sở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hoặc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được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ghi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trong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quyết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thành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lập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  <w:proofErr w:type="gramEnd"/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-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Đối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với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hộ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và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không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kinh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doanh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: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quan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quản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lý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bàn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mã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hoặc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đăng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ký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hộ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khẩu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thường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trú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sổ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hộ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khẩu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hoặc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giấy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chứng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minh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(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hoặc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hộ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chiếu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)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còn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hiệu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lực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hoặc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cư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trú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do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hộ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tự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kê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khai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(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không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cần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xác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nhận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của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chính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quyền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cư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trú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).</w:t>
      </w:r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proofErr w:type="spellStart"/>
      <w:proofErr w:type="gram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Trường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hợp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tổ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chức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hộ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và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không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kinh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doanh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bất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động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sản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thuê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thì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quan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quản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lý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bàn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bất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động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sản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thực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hiện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  <w:proofErr w:type="gramEnd"/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Tổ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chức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hộ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cầu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sử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dụng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phải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đề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nghị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(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mẫu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3.4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Phụ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3 ban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hành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kèm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Thông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tư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này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).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Căn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cứ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đề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nghị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và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chứng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từ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mua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kèm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quan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trách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nhiệm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hướng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dẫn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người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nộp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xác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phải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nộp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theo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của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pháp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luật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về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.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Riêng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trường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hợp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được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trị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tăng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thì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trị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tăng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phải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nộp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là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trị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tăng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ghi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trị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tăng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Người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đề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nghị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lập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đủ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3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liên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quan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và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phải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nộp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đầy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đủ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theo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trước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nhận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.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Sau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chứng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từ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nộp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của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người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đề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nghị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quan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trách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nhiệm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đóng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dấu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quan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vào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phía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của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liên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1,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liên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2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và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giao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người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đề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nghị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liên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3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lưu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quan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”.</w:t>
      </w:r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Trường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hợp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không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kinh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doanh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cung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một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dịch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vụ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khách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hàng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(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trừ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một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dịch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vụ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theo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của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pháp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luật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phải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Giấy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chứng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nhận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đăng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ký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kinh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doanh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)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cầu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xin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để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giao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người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mua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hàng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thì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lastRenderedPageBreak/>
        <w:t>làm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thủ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xin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theo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hướng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dẫn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nêu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Chi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có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trách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nhiệm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hướng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dẫn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tính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số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phải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nộp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theo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của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pháp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luật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và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thực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hiện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cấp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hóa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đơn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lẻ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cho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kinh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doanh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sau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đã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nộp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đủ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.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Trường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hợp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hoạt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động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này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phát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sinh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thường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xuyên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thì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nhân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phải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làm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thủ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đăng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ký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kinh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doanh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,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đăng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ký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để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kê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khai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nộp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:rsidR="00F41814" w:rsidRPr="00F41814" w:rsidRDefault="00F41814" w:rsidP="00F41814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trả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lời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Chi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cục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thuế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biết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để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thực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hiện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theo</w:t>
      </w:r>
      <w:proofErr w:type="spellEnd"/>
      <w:proofErr w:type="gram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đúng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định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các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văn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bản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quy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phạm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pháp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luật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đã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được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trích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dẫn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tại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văn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bản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này</w:t>
      </w:r>
      <w:proofErr w:type="spellEnd"/>
      <w:r w:rsidRPr="00F41814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89"/>
        <w:gridCol w:w="5246"/>
      </w:tblGrid>
      <w:tr w:rsidR="00F41814" w:rsidRPr="00F41814" w:rsidTr="00F41814">
        <w:trPr>
          <w:trHeight w:val="1114"/>
        </w:trPr>
        <w:tc>
          <w:tcPr>
            <w:tcW w:w="3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14" w:rsidRPr="00F41814" w:rsidRDefault="00F41814" w:rsidP="00F4181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  </w:t>
            </w:r>
          </w:p>
          <w:p w:rsidR="00F41814" w:rsidRPr="00F41814" w:rsidRDefault="00F41814" w:rsidP="00F4181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Như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trên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Phòng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Pháp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chế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Lưu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: (TTHT,HC)</w:t>
            </w:r>
            <w:r w:rsidRPr="00F4181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br/>
              <w:t>3047-20244/2012-pdhoa</w:t>
            </w:r>
          </w:p>
        </w:tc>
        <w:tc>
          <w:tcPr>
            <w:tcW w:w="52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14" w:rsidRPr="00F41814" w:rsidRDefault="00F41814" w:rsidP="00F4181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KT. CỤC TRƯỞNG </w:t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br/>
              <w:t>PHÓ CỤC TRƯỞNG</w:t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br/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br/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br/>
            </w:r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br/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Trần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Thị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Lệ</w:t>
            </w:r>
            <w:proofErr w:type="spellEnd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181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</w:rPr>
              <w:t>Nga</w:t>
            </w:r>
            <w:proofErr w:type="spellEnd"/>
          </w:p>
        </w:tc>
      </w:tr>
    </w:tbl>
    <w:p w:rsidR="00F41814" w:rsidRPr="00F41814" w:rsidRDefault="00F41814" w:rsidP="00F41814">
      <w:pPr>
        <w:rPr>
          <w:rFonts w:asciiTheme="majorHAnsi" w:hAnsiTheme="majorHAnsi" w:cstheme="majorHAnsi"/>
          <w:sz w:val="28"/>
          <w:szCs w:val="28"/>
        </w:rPr>
      </w:pPr>
    </w:p>
    <w:sectPr w:rsidR="00F41814" w:rsidRPr="00F41814" w:rsidSect="00017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41814"/>
    <w:rsid w:val="00017B3D"/>
    <w:rsid w:val="002040DE"/>
    <w:rsid w:val="002A4AA1"/>
    <w:rsid w:val="005138AB"/>
    <w:rsid w:val="00604FF8"/>
    <w:rsid w:val="00CF1025"/>
    <w:rsid w:val="00DF3A82"/>
    <w:rsid w:val="00E925D4"/>
    <w:rsid w:val="00F41814"/>
    <w:rsid w:val="00F5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DE"/>
  </w:style>
  <w:style w:type="paragraph" w:styleId="Heading1">
    <w:name w:val="heading 1"/>
    <w:basedOn w:val="Normal"/>
    <w:next w:val="Normal"/>
    <w:link w:val="Heading1Char"/>
    <w:uiPriority w:val="9"/>
    <w:qFormat/>
    <w:rsid w:val="00204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2040DE"/>
    <w:pPr>
      <w:spacing w:before="0" w:line="360" w:lineRule="auto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04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F4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1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ma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Maiphale</dc:creator>
  <cp:lastModifiedBy>Maiphale</cp:lastModifiedBy>
  <cp:revision>2</cp:revision>
  <dcterms:created xsi:type="dcterms:W3CDTF">2013-05-28T09:05:00Z</dcterms:created>
  <dcterms:modified xsi:type="dcterms:W3CDTF">2013-05-28T09:11:00Z</dcterms:modified>
</cp:coreProperties>
</file>