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B5279C" w:rsidRPr="00B5279C" w:rsidTr="00B5279C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9C" w:rsidRPr="00B5279C" w:rsidRDefault="00B5279C" w:rsidP="00B5279C">
            <w:pPr>
              <w:spacing w:before="120"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BỘ TÀI CHÍNH</w:t>
            </w:r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9C" w:rsidRPr="00B5279C" w:rsidRDefault="00B5279C" w:rsidP="00B5279C">
            <w:pPr>
              <w:spacing w:before="120"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</w:rPr>
              <w:t> </w:t>
            </w:r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B5279C" w:rsidRPr="00B5279C" w:rsidTr="00B5279C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9C" w:rsidRPr="00B5279C" w:rsidRDefault="00B5279C" w:rsidP="00B5279C">
            <w:pPr>
              <w:spacing w:before="120" w:after="0" w:line="24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: 6062/BTC-TCHQ</w:t>
            </w:r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 xml:space="preserve">V/v </w:t>
            </w:r>
            <w:proofErr w:type="spellStart"/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gia</w:t>
            </w:r>
            <w:proofErr w:type="spellEnd"/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hạn</w:t>
            </w:r>
            <w:proofErr w:type="spellEnd"/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nộp</w:t>
            </w:r>
            <w:proofErr w:type="spellEnd"/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thuế</w:t>
            </w:r>
            <w:proofErr w:type="spellEnd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9C" w:rsidRPr="00B5279C" w:rsidRDefault="00B5279C" w:rsidP="00B5279C">
            <w:pPr>
              <w:spacing w:before="120" w:after="0" w:line="240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Hà</w:t>
            </w:r>
            <w:proofErr w:type="spellEnd"/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Nội</w:t>
            </w:r>
            <w:proofErr w:type="spellEnd"/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05 </w:t>
            </w:r>
            <w:proofErr w:type="spellStart"/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B5279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2013</w:t>
            </w:r>
          </w:p>
        </w:tc>
      </w:tr>
    </w:tbl>
    <w:p w:rsidR="00B5279C" w:rsidRPr="00B5279C" w:rsidRDefault="00B5279C" w:rsidP="00B5279C">
      <w:pPr>
        <w:shd w:val="clear" w:color="auto" w:fill="FFFFFF"/>
        <w:spacing w:before="120"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8"/>
        <w:gridCol w:w="5868"/>
      </w:tblGrid>
      <w:tr w:rsidR="00B5279C" w:rsidRPr="00B5279C" w:rsidTr="00B5279C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9C" w:rsidRPr="00B5279C" w:rsidRDefault="00B5279C" w:rsidP="00B5279C">
            <w:pPr>
              <w:spacing w:before="120" w:after="0" w:line="240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Kính</w:t>
            </w:r>
            <w:proofErr w:type="spellEnd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gửi</w:t>
            </w:r>
            <w:proofErr w:type="spellEnd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9C" w:rsidRPr="00B5279C" w:rsidRDefault="00B5279C" w:rsidP="00B5279C">
            <w:pPr>
              <w:spacing w:before="120" w:after="0" w:line="24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- UBND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tỉnh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Hưng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Yên</w:t>
            </w:r>
            <w:proofErr w:type="spellEnd"/>
            <w:proofErr w:type="gram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;</w:t>
            </w:r>
            <w:proofErr w:type="gram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Cục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Hải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;</w:t>
            </w:r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ty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cổ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đầu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phát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triển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nghệ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Nam.</w:t>
            </w:r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Xã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Tân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Quang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Huyện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Văn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Lâm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tỉnh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Hưng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Yên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B5279C" w:rsidRPr="00B5279C" w:rsidRDefault="00B5279C" w:rsidP="00B5279C">
      <w:pPr>
        <w:shd w:val="clear" w:color="auto" w:fill="FFFFFF"/>
        <w:spacing w:before="120"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5279C" w:rsidRPr="00B5279C" w:rsidRDefault="00B5279C" w:rsidP="00B5279C">
      <w:pPr>
        <w:shd w:val="clear" w:color="auto" w:fill="FFFFFF"/>
        <w:spacing w:before="120"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Bộ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Tài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chính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nhận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công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văn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440/UBND-TH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ngày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27/3/2013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Ủy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ban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dân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tỉnh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Hưng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Yên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công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văn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132/CV-ĐT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ngày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1/4/2013,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công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văn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139/CV-ĐT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ngày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9/4/2013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về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đề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nghị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gia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hạn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nộp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đối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với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trường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hợp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chuyển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địa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điểm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sản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xuất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kinh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Công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ty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cổ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phần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đầu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tư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phát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triển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công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nghệ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Việt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Nam. </w:t>
      </w:r>
      <w:proofErr w:type="spellStart"/>
      <w:proofErr w:type="gram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Vấn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đề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này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Bộ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Tài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chính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đã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công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văn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5280/BTC-TCHQ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ngày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19/4/2012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hướng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dẫn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thực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hiện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</w:p>
    <w:p w:rsidR="00B5279C" w:rsidRPr="00B5279C" w:rsidRDefault="00B5279C" w:rsidP="00B5279C">
      <w:pPr>
        <w:shd w:val="clear" w:color="auto" w:fill="FFFFFF"/>
        <w:spacing w:before="120"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Theo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đó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về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nguyên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tắc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việc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xác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giá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trị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thiệt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hại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phải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căn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cứ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vào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hồ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sơ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chứng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từ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chế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độ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quy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pháp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luật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liên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quan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để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xác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những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khoản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thiệt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hại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trực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tiếp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gồm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: Chi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phí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tháo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dỡ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trang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thiết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bị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cơ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sở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cũ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; chi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phí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vận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chuyển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lắp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đặt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ở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cơ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sở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mới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; chi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phí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tháo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dỡ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nhà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xưởng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ở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cơ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sở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cũ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sau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khi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trừ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chi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phí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thu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hồi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, chi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phí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trả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lương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cho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người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lao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động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do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ngừng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việc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làm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nếu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).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tiền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tiền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phạt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gia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hạn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do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nguyên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chuyển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địa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điểm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sản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xuất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kinh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gây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ra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(do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phải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tăng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chi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phí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sản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xuất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kinh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nên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khả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năng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nộp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đúng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hạn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)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lớn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hơn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chi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phí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phải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chi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tăng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thêm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xác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B5279C" w:rsidRPr="00B5279C" w:rsidRDefault="00B5279C" w:rsidP="00B5279C">
      <w:pPr>
        <w:shd w:val="clear" w:color="auto" w:fill="FFFFFF"/>
        <w:spacing w:before="120"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Vì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vậy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đối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với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chi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phí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chứng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từ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thì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xác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làm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cơ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sở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gia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hạn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nộp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chi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phí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chứng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từ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như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giá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trị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còn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lại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nguyên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giá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sau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khi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trừ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chi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phí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đã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khấu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hao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)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nhà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xưởng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kho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trang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thiết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bị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bị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phá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dỡ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thu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hồi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vốn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; chi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phí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lưu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kho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bãi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…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mà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kiểm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tra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xác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nguyên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do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dời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phải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chi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thêm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liên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quan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trực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tiếp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đến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hoạt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động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sản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xuất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kinh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trong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dời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việc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dời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kho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bãi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mà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nếu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dời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thì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không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phải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chi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khoản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này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thì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xem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xét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giải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quyết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gia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hạn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cho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doanh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nghiệp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proofErr w:type="spellStart"/>
      <w:proofErr w:type="gram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tiền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gia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hạn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nộp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phải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nộp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trong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năm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2013,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phải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bảo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lãnh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ngân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hàng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đúng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quy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định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</w:p>
    <w:p w:rsidR="00B5279C" w:rsidRPr="00B5279C" w:rsidRDefault="00B5279C" w:rsidP="00B5279C">
      <w:pPr>
        <w:shd w:val="clear" w:color="auto" w:fill="FFFFFF"/>
        <w:spacing w:before="120"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Bộ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Tài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chính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thông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báo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để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UBND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tỉnh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Hưng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Yên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Cục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Hải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quan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Hải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quan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Hải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phòng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Công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ty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cổ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phần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đầu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tư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phát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triển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Việt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Nam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biết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B5279C" w:rsidRPr="00B5279C" w:rsidRDefault="00B5279C" w:rsidP="00B5279C">
      <w:pPr>
        <w:shd w:val="clear" w:color="auto" w:fill="FFFFFF"/>
        <w:spacing w:before="120"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5279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4"/>
        <w:gridCol w:w="6105"/>
      </w:tblGrid>
      <w:tr w:rsidR="00B5279C" w:rsidRPr="00B5279C" w:rsidTr="00B5279C">
        <w:tc>
          <w:tcPr>
            <w:tcW w:w="2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9C" w:rsidRPr="00B5279C" w:rsidRDefault="00B5279C" w:rsidP="00B5279C">
            <w:pPr>
              <w:spacing w:before="120" w:after="0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5279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B5279C" w:rsidRPr="00B5279C" w:rsidRDefault="00B5279C" w:rsidP="00B5279C">
            <w:pPr>
              <w:spacing w:before="120" w:after="0" w:line="24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B5279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Nơi</w:t>
            </w:r>
            <w:proofErr w:type="spellEnd"/>
            <w:r w:rsidRPr="00B5279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nhận</w:t>
            </w:r>
            <w:proofErr w:type="spellEnd"/>
            <w:proofErr w:type="gramStart"/>
            <w:r w:rsidRPr="00B5279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proofErr w:type="gramEnd"/>
            <w:r w:rsidRPr="00B5279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Như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trên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TT: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Đỗ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Hoàng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Anh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Tuấn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để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báo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cáo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);</w:t>
            </w:r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Lưu</w:t>
            </w:r>
            <w:proofErr w:type="spellEnd"/>
            <w:r w:rsidRPr="00B5279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 VT, TCHQ.</w:t>
            </w:r>
          </w:p>
        </w:tc>
        <w:tc>
          <w:tcPr>
            <w:tcW w:w="6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9C" w:rsidRPr="00B5279C" w:rsidRDefault="00B5279C" w:rsidP="00B5279C">
            <w:pPr>
              <w:spacing w:before="120"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TL. BỘ TRƯỞNG</w:t>
            </w:r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  <w:t>KT. TỔNG CỤC TRƯỞNG TỔNG CỤC HẢI QUAN</w:t>
            </w:r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  <w:t>PHÓ TỔNG CỤC TRƯỞNG</w:t>
            </w:r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Hoàng</w:t>
            </w:r>
            <w:proofErr w:type="spellEnd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Việt</w:t>
            </w:r>
            <w:proofErr w:type="spellEnd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7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Cường</w:t>
            </w:r>
            <w:proofErr w:type="spellEnd"/>
          </w:p>
        </w:tc>
      </w:tr>
    </w:tbl>
    <w:p w:rsidR="00017B3D" w:rsidRDefault="00017B3D"/>
    <w:sectPr w:rsidR="00017B3D" w:rsidSect="0001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5279C"/>
    <w:rsid w:val="00017B3D"/>
    <w:rsid w:val="002040DE"/>
    <w:rsid w:val="002A4AA1"/>
    <w:rsid w:val="00604FF8"/>
    <w:rsid w:val="00B5279C"/>
    <w:rsid w:val="00B91C6D"/>
    <w:rsid w:val="00CF1025"/>
    <w:rsid w:val="00DF3A82"/>
    <w:rsid w:val="00E925D4"/>
    <w:rsid w:val="00F5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DE"/>
  </w:style>
  <w:style w:type="paragraph" w:styleId="Heading1">
    <w:name w:val="heading 1"/>
    <w:basedOn w:val="Normal"/>
    <w:next w:val="Normal"/>
    <w:link w:val="Heading1Char"/>
    <w:uiPriority w:val="9"/>
    <w:qFormat/>
    <w:rsid w:val="00204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qFormat/>
    <w:rsid w:val="002040DE"/>
    <w:pPr>
      <w:spacing w:before="0" w:line="360" w:lineRule="auto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04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B5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52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ima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Maiphale</dc:creator>
  <cp:lastModifiedBy>Maiphale</cp:lastModifiedBy>
  <cp:revision>1</cp:revision>
  <dcterms:created xsi:type="dcterms:W3CDTF">2013-05-22T07:03:00Z</dcterms:created>
  <dcterms:modified xsi:type="dcterms:W3CDTF">2013-05-22T07:04:00Z</dcterms:modified>
</cp:coreProperties>
</file>